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AD80BF" w14:textId="47D83C08" w:rsidR="006A019D" w:rsidRDefault="00644549" w:rsidP="00644549">
      <w:pPr>
        <w:pStyle w:val="Heading1"/>
        <w:pBdr>
          <w:bottom w:val="single" w:sz="6" w:space="1" w:color="auto"/>
        </w:pBdr>
      </w:pPr>
      <w:r>
        <w:t>ALA Library Bill of Rights, Interpretations of</w:t>
      </w:r>
    </w:p>
    <w:p w14:paraId="2A0FBBAA" w14:textId="6CD5E480" w:rsidR="00644549" w:rsidRDefault="00D21012" w:rsidP="00644549">
      <w:hyperlink r:id="rId6" w:tooltip="View full interpretation of access to digital resources and services" w:history="1">
        <w:r w:rsidR="00644549" w:rsidRPr="00D21012">
          <w:rPr>
            <w:rStyle w:val="Hyperlink"/>
          </w:rPr>
          <w:t>Access to Digital Resources and Services</w:t>
        </w:r>
      </w:hyperlink>
      <w:r w:rsidR="00644549">
        <w:t>: Digital resources and services allow libraries to significantly expand the scope of information available to users. Like all resources and services provided by the library, provision of access to digital resources and services should follow the principles outlined in the Library Bill of Rights to ensure equitable access regardless of content or platform. Amended 2019</w:t>
      </w:r>
    </w:p>
    <w:p w14:paraId="6AE3BE0F" w14:textId="256D6705" w:rsidR="00644549" w:rsidRDefault="00D21012" w:rsidP="00644549">
      <w:hyperlink r:id="rId7" w:tooltip="View full interpretation of access to library resources and services for minors" w:history="1">
        <w:r w:rsidR="00644549" w:rsidRPr="00D21012">
          <w:rPr>
            <w:rStyle w:val="Hyperlink"/>
          </w:rPr>
          <w:t>Access to Library Resources and Services for Minors</w:t>
        </w:r>
      </w:hyperlink>
      <w:r w:rsidR="00644549">
        <w:t xml:space="preserve">: Library policies and procedures that effectively deny minors equal and equitable access to all library resources available to other users violate the Library Bill of Rights. The American Library Association opposes all attempts to restrict access to library services, materials, and facilities based on the age of library users. Amended 2019 </w:t>
      </w:r>
    </w:p>
    <w:p w14:paraId="55F2ED41" w14:textId="102BE12C" w:rsidR="00644549" w:rsidRDefault="00D21012" w:rsidP="00644549">
      <w:hyperlink r:id="rId8" w:tooltip="View full interpretation of access to library resources and services regardless of sex, gender identity, gender expression, or sexual orientation" w:history="1">
        <w:r w:rsidR="00644549" w:rsidRPr="00D21012">
          <w:rPr>
            <w:rStyle w:val="Hyperlink"/>
          </w:rPr>
          <w:t>Access to Library Resources and Services Regardless of Sex, Gender Identity, Gender Expression, or Sexual Orientation</w:t>
        </w:r>
      </w:hyperlink>
      <w:r w:rsidR="00644549">
        <w:t>: The American Library Association stringently and unequivocally maintains that libraries and librarians have an obligation to resist efforts that systematically exclude materials dealing with any subject matter, including sex, gender identity, or sexual orientation. Amended 2020</w:t>
      </w:r>
    </w:p>
    <w:p w14:paraId="5733293F" w14:textId="4BFA751C" w:rsidR="00644549" w:rsidRDefault="00D21012" w:rsidP="00644549">
      <w:hyperlink r:id="rId9" w:tooltip="View full interpretation of challenged resources" w:history="1">
        <w:r w:rsidR="00644549" w:rsidRPr="00D21012">
          <w:rPr>
            <w:rStyle w:val="Hyperlink"/>
          </w:rPr>
          <w:t>Challenged Resources</w:t>
        </w:r>
      </w:hyperlink>
      <w:r w:rsidR="00644549">
        <w:t>: ALA declares as a matter of firm principle that it is the responsibility of every library to have a clearly defined written policy for collection development that includes a procedure for review of challenged resources. Amended 2019</w:t>
      </w:r>
    </w:p>
    <w:p w14:paraId="05688A75" w14:textId="12B1A4CA" w:rsidR="00644549" w:rsidRDefault="00D21012" w:rsidP="00644549">
      <w:hyperlink r:id="rId10" w:tooltip="View full interpretation of diverse collections" w:history="1">
        <w:r w:rsidR="00644549" w:rsidRPr="00D21012">
          <w:rPr>
            <w:rStyle w:val="Hyperlink"/>
          </w:rPr>
          <w:t>Diverse Collections</w:t>
        </w:r>
      </w:hyperlink>
      <w:r w:rsidR="00644549">
        <w:t>: Collection development should reflect the philosophy inherent in Article I of the Library Bill of Rights: “Books and other library resources should be provided for the interest, information, and enlightenment of all people of the community the library serves. Materials should not be excluded because of the origin, background, or views of those contributing to their creation.” A diverse collection should contain content by and about a wide array of people and cultures to authentically reflect a variety of ideas, information, stories, and experiences. Amended 2019</w:t>
      </w:r>
    </w:p>
    <w:p w14:paraId="5FAEDDC4" w14:textId="0B42AE76" w:rsidR="00644549" w:rsidRDefault="00D21012" w:rsidP="00644549">
      <w:hyperlink r:id="rId11" w:tooltip="View full interpretation of economic barriers to information access" w:history="1">
        <w:r w:rsidR="00644549" w:rsidRPr="00D21012">
          <w:rPr>
            <w:rStyle w:val="Hyperlink"/>
          </w:rPr>
          <w:t>Economic Barriers to Information Access</w:t>
        </w:r>
      </w:hyperlink>
      <w:r w:rsidR="00644549">
        <w:t xml:space="preserve">: All resources provided directly or indirectly by the library, regardless of format or method of delivery, should be readily and equitably accessible to all library users. Imposing any financial barrier may disadvantage users, and libraries of all types—public, </w:t>
      </w:r>
      <w:proofErr w:type="gramStart"/>
      <w:r w:rsidR="00644549">
        <w:t>school</w:t>
      </w:r>
      <w:proofErr w:type="gramEnd"/>
      <w:r w:rsidR="00644549">
        <w:t>, and academic—should consider eliminating barriers that limit access to library resources and other services. Amended 2019</w:t>
      </w:r>
    </w:p>
    <w:p w14:paraId="3073F888" w14:textId="6FCD076B" w:rsidR="00644549" w:rsidRDefault="00D21012" w:rsidP="00644549">
      <w:hyperlink r:id="rId12" w:tooltip="View full interpretation of education and information literacy" w:history="1">
        <w:r w:rsidR="00644549" w:rsidRPr="00D21012">
          <w:rPr>
            <w:rStyle w:val="Hyperlink"/>
          </w:rPr>
          <w:t>Education and Information Literacy</w:t>
        </w:r>
      </w:hyperlink>
      <w:r w:rsidR="00644549">
        <w:t xml:space="preserve">: Libraries and library workers foster education and lifelong learning by promoting free expression and facilitating the exchange of ideas among </w:t>
      </w:r>
      <w:r w:rsidR="00644549">
        <w:lastRenderedPageBreak/>
        <w:t>users. Libraries use resources, programming, and services to strengthen access to information and thus build a foundation of intellectual freedom. In their roles as educators, library workers create an environment that nurtures intellectual freedom in all library resources and services. Amended 2019</w:t>
      </w:r>
    </w:p>
    <w:p w14:paraId="779D815B" w14:textId="0EB40C25" w:rsidR="00644549" w:rsidRDefault="00D21012" w:rsidP="00644549">
      <w:hyperlink r:id="rId13" w:tooltip="View full interpretation of e.d.i." w:history="1">
        <w:r w:rsidR="00644549" w:rsidRPr="00D21012">
          <w:rPr>
            <w:rStyle w:val="Hyperlink"/>
          </w:rPr>
          <w:t>Equity, Diversity, Inclusion</w:t>
        </w:r>
      </w:hyperlink>
      <w:r w:rsidR="00644549">
        <w:t>: Libraries are essential to democracy and self-government, to personal development and social progress, and to every individual’s inalienable right to life, liberty, and the pursuit of happiness. To that end, libraries and library workers should embrace equity, diversity, and inclusion in everything that they do. Adopted 2017</w:t>
      </w:r>
    </w:p>
    <w:p w14:paraId="0AAA1C67" w14:textId="398DAB77" w:rsidR="00644549" w:rsidRDefault="00D21012" w:rsidP="00644549">
      <w:hyperlink r:id="rId14" w:tooltip="View full interpretation of evalutating library collections" w:history="1">
        <w:r w:rsidR="00644549" w:rsidRPr="00D21012">
          <w:rPr>
            <w:rStyle w:val="Hyperlink"/>
          </w:rPr>
          <w:t>Evaluating Library Collections</w:t>
        </w:r>
      </w:hyperlink>
      <w:r w:rsidR="00644549">
        <w:t>: Libraries continually develop their collections by adding and removing resources to maintain collections of current interest and usefulness to their communities. Libraries should adopt collection development and maintenance policies that include criteria for evaluating materials. Amended 2019</w:t>
      </w:r>
    </w:p>
    <w:p w14:paraId="40AC2F0B" w14:textId="5ECF0E2B" w:rsidR="00644549" w:rsidRDefault="00D21012" w:rsidP="00644549">
      <w:hyperlink r:id="rId15" w:tooltip="View full interpretation of expuration of library materials" w:history="1">
        <w:r w:rsidR="00644549" w:rsidRPr="00D21012">
          <w:rPr>
            <w:rStyle w:val="Hyperlink"/>
          </w:rPr>
          <w:t>Expurgation of Library Materials</w:t>
        </w:r>
      </w:hyperlink>
      <w:r w:rsidR="00644549">
        <w:t>: Expurgating library materials is a violation of the Library Bill of Rights. Expurgation as defined by this interpretation includes any deletion, excision, alteration, editing, or obliteration of any part(s) of books or other library resources by the library, its agent, or its parent institution (if any). Amended 2014</w:t>
      </w:r>
    </w:p>
    <w:p w14:paraId="54BB44A4" w14:textId="09B8C8FC" w:rsidR="00644549" w:rsidRDefault="00FE2FD1" w:rsidP="00644549">
      <w:hyperlink r:id="rId16" w:tooltip="View full interpretation of internet filtering" w:history="1">
        <w:r w:rsidR="00644549" w:rsidRPr="00FE2FD1">
          <w:rPr>
            <w:rStyle w:val="Hyperlink"/>
          </w:rPr>
          <w:t>Internet Filtering</w:t>
        </w:r>
      </w:hyperlink>
      <w:r w:rsidR="00644549">
        <w:t xml:space="preserve">: The negative effects of content filters on Internet access in public libraries and schools are demonstrable and documented. Consequently, consistent with previous resolutions, the American Library Association cannot recommend filtering. </w:t>
      </w:r>
      <w:proofErr w:type="gramStart"/>
      <w:r w:rsidR="00644549">
        <w:t>However</w:t>
      </w:r>
      <w:proofErr w:type="gramEnd"/>
      <w:r w:rsidR="00644549">
        <w:t xml:space="preserve"> the ALA recognizes that local libraries and schools are governed by local decision makers and local considerations and often must rely on federal or state funding for computers and internet access. Because adults and, to a lesser degree minors, have First Amendment rights, libraries and schools that choose to use content filters should implement policies and procedures that mitigate the negative effects of filtering to the greatest extent possible. The process should encourage and allow users to ask for filtered websites and content to be unblocked, with minimal delay and due respect for user privacy. Adopted 2015</w:t>
      </w:r>
    </w:p>
    <w:p w14:paraId="31986A98" w14:textId="582EE98A" w:rsidR="00644549" w:rsidRDefault="00FE2FD1" w:rsidP="00644549">
      <w:hyperlink r:id="rId17" w:tooltip="View full interpretation of labeling systems" w:history="1">
        <w:r w:rsidR="00644549" w:rsidRPr="00FE2FD1">
          <w:rPr>
            <w:rStyle w:val="Hyperlink"/>
          </w:rPr>
          <w:t>Labeling Systems</w:t>
        </w:r>
      </w:hyperlink>
      <w:r w:rsidR="00644549">
        <w:t>: Prejudicial labeling systems assume that the libraries have the institutional wisdom to determine what is appropriate or inappropriate for its users to access. They presuppose that individuals must be directed in making up their minds about the ideas they examine. The American Library Association opposes the use of prejudicial labeling systems and affirms the rights of individuals to form their own opinions about resources they choose to read, view, listen to, or otherwise access. Adopted 2015</w:t>
      </w:r>
    </w:p>
    <w:p w14:paraId="6A256A1F" w14:textId="1B933210" w:rsidR="00644549" w:rsidRDefault="00FE2FD1" w:rsidP="00644549">
      <w:hyperlink r:id="rId18" w:tooltip="View full interpretation of library-initiated programs and displays as a resource" w:history="1">
        <w:r w:rsidR="00644549" w:rsidRPr="00FE2FD1">
          <w:rPr>
            <w:rStyle w:val="Hyperlink"/>
          </w:rPr>
          <w:t>Library-Initiated Programs and Displays as a Resource</w:t>
        </w:r>
      </w:hyperlink>
      <w:r w:rsidR="00644549">
        <w:t xml:space="preserve">: Library-initiated programs and displays utilize library worker expertise for community interests, collections, services, </w:t>
      </w:r>
      <w:r w:rsidR="00644549">
        <w:lastRenderedPageBreak/>
        <w:t>facilities, and providing access to information and information resources. They introduce users and potential users to library resources and the library’s role as a facilitator of information access. Concerns, questions, or complaints about library-initiated programs and displays are handled according to the same written policy and procedures that govern reconsiderations of other library resources. These policies should apply equally to all people, including, but not limited to, library users, staff, and members of the governing body.  Amended 2019</w:t>
      </w:r>
    </w:p>
    <w:p w14:paraId="3DFBD098" w14:textId="69A7E60F" w:rsidR="00644549" w:rsidRDefault="00FE2FD1" w:rsidP="00644549">
      <w:hyperlink r:id="rId19" w:tooltip="View full interpretation of meeting rooms" w:history="1">
        <w:r w:rsidR="00644549" w:rsidRPr="00FE2FD1">
          <w:rPr>
            <w:rStyle w:val="Hyperlink"/>
          </w:rPr>
          <w:t>Meeting Rooms</w:t>
        </w:r>
      </w:hyperlink>
      <w:r w:rsidR="00644549">
        <w:t>: Many libraries provide meeting rooms and other spaces designated for use by the public for meetings and other events as a service to their communities. Article VI of the Library Bill of Rights states, “Libraries which make ... meeting rooms available to the public they serve should make such facilities available on an equitable basis, regardless of the beliefs or affiliations of individuals or groups requesting their use.” Amended 2019</w:t>
      </w:r>
    </w:p>
    <w:p w14:paraId="0F387D18" w14:textId="5C82F5AA" w:rsidR="00644549" w:rsidRDefault="00FE2FD1" w:rsidP="00644549">
      <w:hyperlink r:id="rId20" w:tooltip="View full interpretation of minors and online activity" w:history="1">
        <w:r w:rsidR="00644549" w:rsidRPr="00FE2FD1">
          <w:rPr>
            <w:rStyle w:val="Hyperlink"/>
          </w:rPr>
          <w:t>Minors and Online Activity</w:t>
        </w:r>
      </w:hyperlink>
      <w:r w:rsidR="00644549">
        <w:t>: The online environment offers opportunities for accessing, creating, and sharing information. The rights of minors to retrieve, create, and interact with information posted on the Internet in schools and libraries are extensions of their First Amendment rights. Amended 2019</w:t>
      </w:r>
    </w:p>
    <w:p w14:paraId="1C239DDC" w14:textId="3BC818F2" w:rsidR="00644549" w:rsidRDefault="00FE2FD1" w:rsidP="00644549">
      <w:hyperlink r:id="rId21" w:tooltip="View full interpretation of politics in american libraries" w:history="1">
        <w:r w:rsidR="00644549" w:rsidRPr="00FE2FD1">
          <w:rPr>
            <w:rStyle w:val="Hyperlink"/>
          </w:rPr>
          <w:t>Politics in American Libraries</w:t>
        </w:r>
      </w:hyperlink>
      <w:r w:rsidR="00644549">
        <w:t>: The Library Bill of Rights specifically states that "all people'' and "all points of view" should be included in library materials and information. There are no limiting qualifiers for viewpoint, origin, or politics. Adopted 2017</w:t>
      </w:r>
    </w:p>
    <w:p w14:paraId="1556118F" w14:textId="0DC883D1" w:rsidR="00644549" w:rsidRDefault="00FE2FD1" w:rsidP="00644549">
      <w:hyperlink r:id="rId22" w:tooltip="View full interpretation of prisoners' right to read" w:history="1">
        <w:r w:rsidR="00644549" w:rsidRPr="00FE2FD1">
          <w:rPr>
            <w:rStyle w:val="Hyperlink"/>
          </w:rPr>
          <w:t>Prisoners' Right to Read</w:t>
        </w:r>
      </w:hyperlink>
      <w:r w:rsidR="00644549">
        <w:t>: ALA asserts a compelling public interest in the preservation of intellectual freedom for individuals of any age held in jails, prisons, detention facilities, juvenile facilities, immigration facilities, prison work camps, and segregated units within any facility, whether public or private. Amended 2019</w:t>
      </w:r>
    </w:p>
    <w:p w14:paraId="083B5964" w14:textId="3A2AECDC" w:rsidR="00644549" w:rsidRDefault="00FE2FD1" w:rsidP="00644549">
      <w:hyperlink r:id="rId23" w:tooltip="View full interpretation of privacy" w:history="1">
        <w:r w:rsidR="00644549" w:rsidRPr="00FE2FD1">
          <w:rPr>
            <w:rStyle w:val="Hyperlink"/>
          </w:rPr>
          <w:t>Privacy</w:t>
        </w:r>
      </w:hyperlink>
      <w:r w:rsidR="00644549">
        <w:t>: All people, regardless of origin, age, background, or views, possess a right to privacy and confidentiality in their library use. The American Library Association affirms that rights of privacy are necessary for intellectual freedom and are fundamental to the ethical practice of librarianship. Amended 2019</w:t>
      </w:r>
    </w:p>
    <w:p w14:paraId="0FA87B30" w14:textId="2E8EC38D" w:rsidR="00644549" w:rsidRDefault="00FE2FD1" w:rsidP="00644549">
      <w:hyperlink r:id="rId24" w:tooltip="View full interpretation of rating systems" w:history="1">
        <w:r w:rsidR="00644549" w:rsidRPr="00FE2FD1">
          <w:rPr>
            <w:rStyle w:val="Hyperlink"/>
          </w:rPr>
          <w:t>Rating Systems</w:t>
        </w:r>
      </w:hyperlink>
      <w:r w:rsidR="00644549">
        <w:t>:  Rating systems are tools or labels devised by individuals or organizations to advise people regarding suitability or content of materials. Rating systems appearing in library catalogs or discovery systems present distinct challenges to intellectual freedom principles.</w:t>
      </w:r>
      <w:r>
        <w:t xml:space="preserve"> </w:t>
      </w:r>
      <w:proofErr w:type="gramStart"/>
      <w:r w:rsidR="00644549">
        <w:t>The</w:t>
      </w:r>
      <w:proofErr w:type="gramEnd"/>
      <w:r w:rsidR="00644549">
        <w:t xml:space="preserve"> American Library Association affirms the rights of individuals to form their own opinions about resources they choose to read or view. Amended 2019</w:t>
      </w:r>
    </w:p>
    <w:p w14:paraId="4883E961" w14:textId="51DB10E1" w:rsidR="00644549" w:rsidRDefault="00FE2FD1" w:rsidP="00644549">
      <w:hyperlink r:id="rId25" w:tooltip="View full interpretation of religion in american libraries" w:history="1">
        <w:r w:rsidR="00644549" w:rsidRPr="00FE2FD1">
          <w:rPr>
            <w:rStyle w:val="Hyperlink"/>
          </w:rPr>
          <w:t>Religion in American Libraries</w:t>
        </w:r>
      </w:hyperlink>
      <w:r w:rsidR="00644549">
        <w:t xml:space="preserve">: The First Amendment guarantees the right of individuals to believe and practice their religion or practice no religion at all and prohibits the government </w:t>
      </w:r>
      <w:r w:rsidR="00644549">
        <w:lastRenderedPageBreak/>
        <w:t xml:space="preserve">from establishing or endorsing a religion or religions. </w:t>
      </w:r>
      <w:proofErr w:type="gramStart"/>
      <w:r w:rsidR="00644549">
        <w:t>Thus</w:t>
      </w:r>
      <w:proofErr w:type="gramEnd"/>
      <w:r w:rsidR="00644549">
        <w:t xml:space="preserve"> </w:t>
      </w:r>
      <w:proofErr w:type="gramStart"/>
      <w:r w:rsidR="00644549">
        <w:t>the freedom</w:t>
      </w:r>
      <w:proofErr w:type="gramEnd"/>
      <w:r w:rsidR="00644549">
        <w:t xml:space="preserve"> of, for and from religion, are similarly guaranteed. Adopted 2016</w:t>
      </w:r>
    </w:p>
    <w:p w14:paraId="635A8A5A" w14:textId="4245F217" w:rsidR="00644549" w:rsidRDefault="00FE2FD1" w:rsidP="00644549">
      <w:hyperlink r:id="rId26" w:tooltip="View full interpretation of restricted access to library materials" w:history="1">
        <w:r w:rsidR="00644549" w:rsidRPr="00FE2FD1">
          <w:rPr>
            <w:rStyle w:val="Hyperlink"/>
          </w:rPr>
          <w:t>Restricted Access to Library Materials</w:t>
        </w:r>
      </w:hyperlink>
      <w:r w:rsidR="00644549">
        <w:t>: Libraries are a traditional forum for the open exchange of information. Attempts to restrict access to library materials violate the basic tenets of the Library Bill of Rights. Amended 2014</w:t>
      </w:r>
    </w:p>
    <w:p w14:paraId="2AEE314F" w14:textId="4EAF3B7E" w:rsidR="00644549" w:rsidRDefault="00FE2FD1" w:rsidP="00644549">
      <w:hyperlink r:id="rId27" w:tooltip="View full interpretation of services to people with disabilities" w:history="1">
        <w:r w:rsidR="00644549" w:rsidRPr="00FE2FD1">
          <w:rPr>
            <w:rStyle w:val="Hyperlink"/>
          </w:rPr>
          <w:t>Services to People with Disabilities</w:t>
        </w:r>
      </w:hyperlink>
      <w:r w:rsidR="00644549">
        <w:t>: Libraries should be fully inclusive of all members of their community and strive to break down barriers to access. The library can play a transformational role in helping facilitate more complete participation in society by providing fully accessible resources and services. Amended 2018</w:t>
      </w:r>
    </w:p>
    <w:p w14:paraId="73D89E79" w14:textId="26ADBAC3" w:rsidR="00644549" w:rsidRDefault="00FE2FD1" w:rsidP="00644549">
      <w:hyperlink r:id="rId28" w:tooltip="View full interpretation of universal right to free expression" w:history="1">
        <w:r w:rsidR="00644549" w:rsidRPr="00FE2FD1">
          <w:rPr>
            <w:rStyle w:val="Hyperlink"/>
          </w:rPr>
          <w:t>Universal Right to Free Expression</w:t>
        </w:r>
      </w:hyperlink>
      <w:r w:rsidR="00644549">
        <w:t>: Freedom of expression is an inalienable human right and the foundation for self-government. Freedom of expression encompasses the freedoms of speech, press, religion, assembly, and association, and the corollary right to receive information. Amended 2014</w:t>
      </w:r>
    </w:p>
    <w:p w14:paraId="511FB444" w14:textId="52193F3E" w:rsidR="00644549" w:rsidRDefault="00FE2FD1" w:rsidP="00644549">
      <w:hyperlink r:id="rId29" w:tooltip="View full interpretation of user-generated content in library discovery systems" w:history="1">
        <w:r w:rsidR="00644549" w:rsidRPr="00FE2FD1">
          <w:rPr>
            <w:rStyle w:val="Hyperlink"/>
          </w:rPr>
          <w:t>User-Generated Content in Library Discovery Systems</w:t>
        </w:r>
      </w:hyperlink>
      <w:r w:rsidR="00644549">
        <w:t>: Libraries offer a variety of discovery systems to provide access to the resources in their collections.  Such systems can include online public access catalogs (OPAC), library discovery products, institutional repositories, and archival systems. With the widespread use of library technology that incorporates social media components, intelligent objects, and knowledge-sharing tools comes the ability of libraries to provide greater opportunities for patron engagement in those discovery systems through user-generated content.  These features may include the ability of users to contribute commentary such as reviews, simple point-and-click rating systems (e.g. one star to five stars), or to engage in extensive discussions or other social interactions. This kind of content could transform authoritative files, alter information architecture, and change the flow of information within the library discovery system. Amended 2019</w:t>
      </w:r>
    </w:p>
    <w:p w14:paraId="27B484FB" w14:textId="358A0080" w:rsidR="00644549" w:rsidRDefault="00FE2FD1" w:rsidP="00644549">
      <w:hyperlink r:id="rId30" w:tooltip="View full interpretation of user-initiated exhibits, displays, and bulletin boards" w:history="1">
        <w:r w:rsidR="00644549" w:rsidRPr="00FE2FD1">
          <w:rPr>
            <w:rStyle w:val="Hyperlink"/>
          </w:rPr>
          <w:t>User-Initiated Exhibits, Displays, and Bulletin Boards</w:t>
        </w:r>
      </w:hyperlink>
      <w:r w:rsidR="00644549">
        <w:t xml:space="preserve">: Libraries may offer spaces for exhibits, displays, and bulletin boards in physical or digital formats as a benefit for their communities. The use of these spaces should conform to the American Library Association’s Library Bill of Rights. Amended 2019 </w:t>
      </w:r>
    </w:p>
    <w:p w14:paraId="5B9496D4" w14:textId="637322C7" w:rsidR="00644549" w:rsidRPr="00644549" w:rsidRDefault="00FE2FD1" w:rsidP="00644549">
      <w:hyperlink r:id="rId31" w:tooltip="View full interpretation of visual and performing arts in libraries" w:history="1">
        <w:r w:rsidR="00644549" w:rsidRPr="00FE2FD1">
          <w:rPr>
            <w:rStyle w:val="Hyperlink"/>
          </w:rPr>
          <w:t>Visual and Performing Arts in Libraries</w:t>
        </w:r>
      </w:hyperlink>
      <w:r w:rsidR="00644549">
        <w:t>: Visual images and performances in the library should not be restricted based on content. Librarians and library staff should be proactive in seeking out a wide variety of representational and abstract artwork and performance art, with limitations or parameters set only with respect to space, installation, fiscal, and technical constraints. Adopted 2018</w:t>
      </w:r>
    </w:p>
    <w:sectPr w:rsidR="00644549" w:rsidRPr="00644549">
      <w:footerReference w:type="default" r:id="rId3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528A88" w14:textId="77777777" w:rsidR="00B130AE" w:rsidRDefault="00B130AE" w:rsidP="00FE2FD1">
      <w:pPr>
        <w:spacing w:after="0" w:line="240" w:lineRule="auto"/>
      </w:pPr>
      <w:r>
        <w:separator/>
      </w:r>
    </w:p>
  </w:endnote>
  <w:endnote w:type="continuationSeparator" w:id="0">
    <w:p w14:paraId="5A563A2C" w14:textId="77777777" w:rsidR="00B130AE" w:rsidRDefault="00B130AE" w:rsidP="00FE2F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93617747"/>
      <w:docPartObj>
        <w:docPartGallery w:val="Page Numbers (Bottom of Page)"/>
        <w:docPartUnique/>
      </w:docPartObj>
    </w:sdtPr>
    <w:sdtEndPr>
      <w:rPr>
        <w:spacing w:val="60"/>
      </w:rPr>
    </w:sdtEndPr>
    <w:sdtContent>
      <w:p w14:paraId="0457050D" w14:textId="7B2072F3" w:rsidR="00FE2FD1" w:rsidRDefault="00FE2FD1">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sidRPr="00FE2FD1">
          <w:rPr>
            <w:spacing w:val="60"/>
          </w:rPr>
          <w:t>Page</w:t>
        </w:r>
      </w:p>
    </w:sdtContent>
  </w:sdt>
  <w:p w14:paraId="76F8F720" w14:textId="77777777" w:rsidR="00FE2FD1" w:rsidRDefault="00FE2F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3B5030" w14:textId="77777777" w:rsidR="00B130AE" w:rsidRDefault="00B130AE" w:rsidP="00FE2FD1">
      <w:pPr>
        <w:spacing w:after="0" w:line="240" w:lineRule="auto"/>
      </w:pPr>
      <w:r>
        <w:separator/>
      </w:r>
    </w:p>
  </w:footnote>
  <w:footnote w:type="continuationSeparator" w:id="0">
    <w:p w14:paraId="66C8F9CD" w14:textId="77777777" w:rsidR="00B130AE" w:rsidRDefault="00B130AE" w:rsidP="00FE2FD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549"/>
    <w:rsid w:val="003C3467"/>
    <w:rsid w:val="00644549"/>
    <w:rsid w:val="006A019D"/>
    <w:rsid w:val="007866A7"/>
    <w:rsid w:val="00B130AE"/>
    <w:rsid w:val="00D21012"/>
    <w:rsid w:val="00D637FE"/>
    <w:rsid w:val="00FE2F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300B2"/>
  <w15:chartTrackingRefBased/>
  <w15:docId w15:val="{E0FFE703-7E33-48B6-A212-C7BF7E764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445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4454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4454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4454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4454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4454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4454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4454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4454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454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4454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4454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4454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4454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4454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4454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4454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44549"/>
    <w:rPr>
      <w:rFonts w:eastAsiaTheme="majorEastAsia" w:cstheme="majorBidi"/>
      <w:color w:val="272727" w:themeColor="text1" w:themeTint="D8"/>
    </w:rPr>
  </w:style>
  <w:style w:type="paragraph" w:styleId="Title">
    <w:name w:val="Title"/>
    <w:basedOn w:val="Normal"/>
    <w:next w:val="Normal"/>
    <w:link w:val="TitleChar"/>
    <w:uiPriority w:val="10"/>
    <w:qFormat/>
    <w:rsid w:val="006445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454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4454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4454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44549"/>
    <w:pPr>
      <w:spacing w:before="160"/>
      <w:jc w:val="center"/>
    </w:pPr>
    <w:rPr>
      <w:i/>
      <w:iCs/>
      <w:color w:val="404040" w:themeColor="text1" w:themeTint="BF"/>
    </w:rPr>
  </w:style>
  <w:style w:type="character" w:customStyle="1" w:styleId="QuoteChar">
    <w:name w:val="Quote Char"/>
    <w:basedOn w:val="DefaultParagraphFont"/>
    <w:link w:val="Quote"/>
    <w:uiPriority w:val="29"/>
    <w:rsid w:val="00644549"/>
    <w:rPr>
      <w:i/>
      <w:iCs/>
      <w:color w:val="404040" w:themeColor="text1" w:themeTint="BF"/>
    </w:rPr>
  </w:style>
  <w:style w:type="paragraph" w:styleId="ListParagraph">
    <w:name w:val="List Paragraph"/>
    <w:basedOn w:val="Normal"/>
    <w:uiPriority w:val="34"/>
    <w:qFormat/>
    <w:rsid w:val="00644549"/>
    <w:pPr>
      <w:ind w:left="720"/>
      <w:contextualSpacing/>
    </w:pPr>
  </w:style>
  <w:style w:type="character" w:styleId="IntenseEmphasis">
    <w:name w:val="Intense Emphasis"/>
    <w:basedOn w:val="DefaultParagraphFont"/>
    <w:uiPriority w:val="21"/>
    <w:qFormat/>
    <w:rsid w:val="00644549"/>
    <w:rPr>
      <w:i/>
      <w:iCs/>
      <w:color w:val="0F4761" w:themeColor="accent1" w:themeShade="BF"/>
    </w:rPr>
  </w:style>
  <w:style w:type="paragraph" w:styleId="IntenseQuote">
    <w:name w:val="Intense Quote"/>
    <w:basedOn w:val="Normal"/>
    <w:next w:val="Normal"/>
    <w:link w:val="IntenseQuoteChar"/>
    <w:uiPriority w:val="30"/>
    <w:qFormat/>
    <w:rsid w:val="006445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44549"/>
    <w:rPr>
      <w:i/>
      <w:iCs/>
      <w:color w:val="0F4761" w:themeColor="accent1" w:themeShade="BF"/>
    </w:rPr>
  </w:style>
  <w:style w:type="character" w:styleId="IntenseReference">
    <w:name w:val="Intense Reference"/>
    <w:basedOn w:val="DefaultParagraphFont"/>
    <w:uiPriority w:val="32"/>
    <w:qFormat/>
    <w:rsid w:val="00644549"/>
    <w:rPr>
      <w:b/>
      <w:bCs/>
      <w:smallCaps/>
      <w:color w:val="0F4761" w:themeColor="accent1" w:themeShade="BF"/>
      <w:spacing w:val="5"/>
    </w:rPr>
  </w:style>
  <w:style w:type="character" w:styleId="Hyperlink">
    <w:name w:val="Hyperlink"/>
    <w:basedOn w:val="DefaultParagraphFont"/>
    <w:uiPriority w:val="99"/>
    <w:unhideWhenUsed/>
    <w:rsid w:val="00D21012"/>
    <w:rPr>
      <w:color w:val="467886" w:themeColor="hyperlink"/>
      <w:u w:val="single"/>
    </w:rPr>
  </w:style>
  <w:style w:type="character" w:styleId="UnresolvedMention">
    <w:name w:val="Unresolved Mention"/>
    <w:basedOn w:val="DefaultParagraphFont"/>
    <w:uiPriority w:val="99"/>
    <w:semiHidden/>
    <w:unhideWhenUsed/>
    <w:rsid w:val="00D21012"/>
    <w:rPr>
      <w:color w:val="605E5C"/>
      <w:shd w:val="clear" w:color="auto" w:fill="E1DFDD"/>
    </w:rPr>
  </w:style>
  <w:style w:type="paragraph" w:styleId="Header">
    <w:name w:val="header"/>
    <w:basedOn w:val="Normal"/>
    <w:link w:val="HeaderChar"/>
    <w:uiPriority w:val="99"/>
    <w:unhideWhenUsed/>
    <w:rsid w:val="00FE2F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2FD1"/>
  </w:style>
  <w:style w:type="paragraph" w:styleId="Footer">
    <w:name w:val="footer"/>
    <w:basedOn w:val="Normal"/>
    <w:link w:val="FooterChar"/>
    <w:uiPriority w:val="99"/>
    <w:unhideWhenUsed/>
    <w:rsid w:val="00FE2F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2F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ala.org/advocacy/intfreedom/librarybill/interpretations/EDI" TargetMode="External"/><Relationship Id="rId18" Type="http://schemas.openxmlformats.org/officeDocument/2006/relationships/hyperlink" Target="ala.org/advocacy/intfreedom/librarybill/interpretations/programsdisplays" TargetMode="External"/><Relationship Id="rId26" Type="http://schemas.openxmlformats.org/officeDocument/2006/relationships/hyperlink" Target="ala.org/advocacy/intfreedom/librarybill/interpretations/restrictedaccess" TargetMode="External"/><Relationship Id="rId3" Type="http://schemas.openxmlformats.org/officeDocument/2006/relationships/webSettings" Target="webSettings.xml"/><Relationship Id="rId21" Type="http://schemas.openxmlformats.org/officeDocument/2006/relationships/hyperlink" Target="ala.org/advocacy/intfreedom/librarybill/interpretations/politics" TargetMode="External"/><Relationship Id="rId34" Type="http://schemas.openxmlformats.org/officeDocument/2006/relationships/theme" Target="theme/theme1.xml"/><Relationship Id="rId7" Type="http://schemas.openxmlformats.org/officeDocument/2006/relationships/hyperlink" Target="ala.org/advocacy/intfreedom/librarybill/interpretations/minors" TargetMode="External"/><Relationship Id="rId12" Type="http://schemas.openxmlformats.org/officeDocument/2006/relationships/hyperlink" Target="ala.org/advocacy/intfreedom/librarybill/interpretations/education" TargetMode="External"/><Relationship Id="rId17" Type="http://schemas.openxmlformats.org/officeDocument/2006/relationships/hyperlink" Target="ala.org/advocacy/intfreedom/librarybill/interpretation/labeling-systems" TargetMode="External"/><Relationship Id="rId25" Type="http://schemas.openxmlformats.org/officeDocument/2006/relationships/hyperlink" Target="ala.org/advocacy/intfreedom/librarybill/interpretations/religion"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ala.org/advocacy/intfreedom/librarybill/interpretations/internet-filtering" TargetMode="External"/><Relationship Id="rId20" Type="http://schemas.openxmlformats.org/officeDocument/2006/relationships/hyperlink" Target="ala.org/advocacy/intfreedom/librarybill/interpretations/minorsonlineactivity" TargetMode="External"/><Relationship Id="rId29" Type="http://schemas.openxmlformats.org/officeDocument/2006/relationships/hyperlink" Target="ala.org/advocacy/intfreedom/librarybill/interpretations/usergenerated" TargetMode="External"/><Relationship Id="rId1" Type="http://schemas.openxmlformats.org/officeDocument/2006/relationships/styles" Target="styles.xml"/><Relationship Id="rId6" Type="http://schemas.openxmlformats.org/officeDocument/2006/relationships/hyperlink" Target="ala.org/advocacy/intfreedom/librarybill/interpretations/digital" TargetMode="External"/><Relationship Id="rId11" Type="http://schemas.openxmlformats.org/officeDocument/2006/relationships/hyperlink" Target="ala.org/advocacy/intfreedom/librarybill/interpretations/economicbarriers" TargetMode="External"/><Relationship Id="rId24" Type="http://schemas.openxmlformats.org/officeDocument/2006/relationships/hyperlink" Target="ala.org/advocacy/intfreedom/librarybill/interpretations/rating-systems" TargetMode="External"/><Relationship Id="rId32"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ala.org/advocacy/intfreedom/librarybill/interpretations/expurgationlibrary" TargetMode="External"/><Relationship Id="rId23" Type="http://schemas.openxmlformats.org/officeDocument/2006/relationships/hyperlink" Target="ala.org/advocacy/intfreedom/librarybill/interpretations/privacy" TargetMode="External"/><Relationship Id="rId28" Type="http://schemas.openxmlformats.org/officeDocument/2006/relationships/hyperlink" Target="ala.org/advocacy/intfreedom/librarybill/interpretations/universalright" TargetMode="External"/><Relationship Id="rId10" Type="http://schemas.openxmlformats.org/officeDocument/2006/relationships/hyperlink" Target="ala.org/advocacy/intfreedom/librarybill/interpretations/diversecollections" TargetMode="External"/><Relationship Id="rId19" Type="http://schemas.openxmlformats.org/officeDocument/2006/relationships/hyperlink" Target="ala.org/advocacy/intfreedom/librarybill/interpretations/meetingrooms" TargetMode="External"/><Relationship Id="rId31" Type="http://schemas.openxmlformats.org/officeDocument/2006/relationships/hyperlink" Target="ala.org/advocacy/intfreedom/librarybill/interpretations/arts" TargetMode="External"/><Relationship Id="rId4" Type="http://schemas.openxmlformats.org/officeDocument/2006/relationships/footnotes" Target="footnotes.xml"/><Relationship Id="rId9" Type="http://schemas.openxmlformats.org/officeDocument/2006/relationships/hyperlink" Target="ala.org/advocacy/intfreedom/librarybill/interpretations/challenged-resources" TargetMode="External"/><Relationship Id="rId14" Type="http://schemas.openxmlformats.org/officeDocument/2006/relationships/hyperlink" Target="ala.org/advocacy/intfreedom/librarybill/interpretations/evaluatinglibrary" TargetMode="External"/><Relationship Id="rId22" Type="http://schemas.openxmlformats.org/officeDocument/2006/relationships/hyperlink" Target="ala.org/advocacy/intfreedom/librarybill/interpretations/prisonersrightoread" TargetMode="External"/><Relationship Id="rId27" Type="http://schemas.openxmlformats.org/officeDocument/2006/relationships/hyperlink" Target="ala.org/advocacy/intfreedom/librarybill/interpretations/servicespeopledisabilities" TargetMode="External"/><Relationship Id="rId30" Type="http://schemas.openxmlformats.org/officeDocument/2006/relationships/hyperlink" Target="ala.org/advocacy/intfreedom/librarybill/interpretations/exhibitsdisplaysbulletinboards" TargetMode="External"/><Relationship Id="rId8" Type="http://schemas.openxmlformats.org/officeDocument/2006/relationships/hyperlink" Target="ala.org/advocacy/intfreedom/librarybill/interpretations/accesslgb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4</Pages>
  <Words>2259</Words>
  <Characters>12881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Wabeno Staff</dc:creator>
  <cp:keywords/>
  <dc:description/>
  <cp:lastModifiedBy>Wabeno Staff</cp:lastModifiedBy>
  <cp:revision>1</cp:revision>
  <dcterms:created xsi:type="dcterms:W3CDTF">2025-01-17T20:15:00Z</dcterms:created>
  <dcterms:modified xsi:type="dcterms:W3CDTF">2025-01-17T20:50:00Z</dcterms:modified>
</cp:coreProperties>
</file>